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21" w:rsidRDefault="00E50E77">
      <w:pPr>
        <w:pStyle w:val="ConsPlusNormal"/>
        <w:jc w:val="right"/>
        <w:outlineLvl w:val="0"/>
      </w:pPr>
      <w:bookmarkStart w:id="0" w:name="_GoBack"/>
      <w:bookmarkEnd w:id="0"/>
      <w:r>
        <w:t>Приложение N 3</w:t>
      </w:r>
    </w:p>
    <w:p w:rsidR="00170321" w:rsidRDefault="00E50E77">
      <w:pPr>
        <w:pStyle w:val="ConsPlusNormal"/>
        <w:jc w:val="right"/>
      </w:pPr>
      <w:r>
        <w:t>к Программе</w:t>
      </w:r>
    </w:p>
    <w:p w:rsidR="00170321" w:rsidRDefault="00170321">
      <w:pPr>
        <w:pStyle w:val="ConsPlusNormal"/>
        <w:jc w:val="both"/>
      </w:pPr>
    </w:p>
    <w:p w:rsidR="00170321" w:rsidRDefault="00E50E77">
      <w:pPr>
        <w:pStyle w:val="ConsPlusTitle"/>
        <w:jc w:val="center"/>
      </w:pPr>
      <w:r>
        <w:t>ПРАВИЛА</w:t>
      </w:r>
    </w:p>
    <w:p w:rsidR="00170321" w:rsidRDefault="00E50E77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170321" w:rsidRDefault="00E50E77">
      <w:pPr>
        <w:pStyle w:val="ConsPlusTitle"/>
        <w:jc w:val="center"/>
      </w:pPr>
      <w:r>
        <w:t>БЮДЖЕТА МЕСТНЫМ БЮДЖЕТАМ МУРМАНСКОЙ ОБЛАСТИ НА РЕАЛИЗАЦИЮ</w:t>
      </w:r>
    </w:p>
    <w:p w:rsidR="00170321" w:rsidRDefault="00E50E77">
      <w:pPr>
        <w:pStyle w:val="ConsPlusTitle"/>
        <w:jc w:val="center"/>
      </w:pPr>
      <w:r>
        <w:t>МЕРОПРИЯТИЙ ПО БЛАГОУСТРОЙСТВУ СЕЛЬСКИХ ТЕРРИТОРИЙ</w:t>
      </w:r>
    </w:p>
    <w:p w:rsidR="00170321" w:rsidRDefault="00170321">
      <w:pPr>
        <w:pStyle w:val="ConsPlusNormal"/>
        <w:jc w:val="both"/>
      </w:pPr>
    </w:p>
    <w:p w:rsidR="00170321" w:rsidRDefault="00E50E77">
      <w:pPr>
        <w:pStyle w:val="ConsPlusNormal"/>
        <w:ind w:firstLine="540"/>
        <w:jc w:val="both"/>
      </w:pPr>
      <w:r>
        <w:t>1. Настоящие Правила устанавливают цель, условия и порядок предоставления и распределения субсидий местным бюджетам Мурманской области на реализацию проектов по обеспечению комплексного развития сельских территорий в части реализации мероприятий по благоус</w:t>
      </w:r>
      <w:r>
        <w:t>тройству сельских территорий (далее - Субсидии).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Министерство природных ресурсов, экологии и рыбного хозяйства Мурманской области является уполномоченным исполнительным органом Мурманской области по заключению с Министерством сельского хозяйства Российс</w:t>
      </w:r>
      <w:r>
        <w:t>кой Федерации (далее - Минсельхоз РФ) соглашения по предоставлению из федерального бюджета бюджету Мурманской области Субсидий на реализацию мероприятий, направленных на комплексное развитие сельских территорий, и предоставлению в Минсельхоз РФ отчетов о р</w:t>
      </w:r>
      <w:r>
        <w:t>асходах, источником финансового обеспечения которых являются указанные Субсидии</w:t>
      </w:r>
      <w:proofErr w:type="gramEnd"/>
      <w:r>
        <w:t>.</w:t>
      </w:r>
    </w:p>
    <w:p w:rsidR="00170321" w:rsidRDefault="00E50E77">
      <w:pPr>
        <w:pStyle w:val="ConsPlusNormal"/>
        <w:spacing w:before="240"/>
        <w:ind w:firstLine="540"/>
        <w:jc w:val="both"/>
      </w:pPr>
      <w:bookmarkStart w:id="1" w:name="P10"/>
      <w:bookmarkEnd w:id="1"/>
      <w:r>
        <w:t>3. Субсидии предоставляются из областного бюджета местным бюджетам Министерством градостроительства и благоустройства Мурманской области (далее - Министерство) как главным рас</w:t>
      </w:r>
      <w:r>
        <w:t>порядителем бюджетных сре</w:t>
      </w:r>
      <w:proofErr w:type="gramStart"/>
      <w:r>
        <w:t>дств в ц</w:t>
      </w:r>
      <w:proofErr w:type="gramEnd"/>
      <w:r>
        <w:t>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следующих мероприятий муниципальных программ: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создание и обустрой</w:t>
      </w:r>
      <w:r>
        <w:t>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организация освещения территории, включая архитектурную подсветку зданий, ст</w:t>
      </w:r>
      <w:r>
        <w:t>роений, сооружений, в том числе с использованием энергосберегающих технологий;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организация пешеходных коммуникаций, в том числе тротуаров, аллей, велосипедных дорожек, тропинок;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создание и обустройство мест автомобильных и велосипедных парковок;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ремо</w:t>
      </w:r>
      <w:r>
        <w:t>нтно-восстановительные работы улично-дорожной сети и дворовых проездов;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- организация оформления фасадов (внешнего вида) зданий (административных зданий, объектов социальной сферы, объектов инфраструктуры и др.), находящихся в муниципальной собственности, </w:t>
      </w:r>
      <w:r>
        <w:t>а также установка (обустройство) ограждений, прилегающих к общественным территориям, газонных и тротуарных ограждений;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организ</w:t>
      </w:r>
      <w:r>
        <w:t>ация ливневых стоков;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обустройство общественных колодцев и водоразборных колонок;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lastRenderedPageBreak/>
        <w:t>- обустройство площадок накопления твердых коммунальных отходов;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сохранение и восстановление природных ландшафтов и историко-культурных памятников.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Элементы благоустройст</w:t>
      </w:r>
      <w:r>
        <w:t>ва и виды работ, включаемые в проекты, определяются Министерством природных ресурсов, экологии и рыбного хозяйства Мурманской области.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Субсидии носят целевой характер и не могут быть использованы на другие цели.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4. Распределение Субсидий между муниципальными образованиями утверждается законом Мурманской области об областном бюджете на соответствующий финансовый год и плановый период либо постановлением Правительства Мурманской области.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Критерием отбора муниципа</w:t>
      </w:r>
      <w:r>
        <w:t>льного образования для предоставления Субсидий является наличие общественно значимого проекта благоустройства сельских территорий Мурманской области, прошедшего конкурсный отбор в соответствии с Порядком проведения конкурсного отбора общественно значимых п</w:t>
      </w:r>
      <w:r>
        <w:t>роектов по благоустройству сельских территорий Мурманской области, утвержденным приказом Министерства природных ресурсов, экологии и рыбного хозяйства Мурманской области от 22.12.2022 N 733 (далее - Порядок проведения конкурсного отбора, конкурсный отбор).</w:t>
      </w:r>
      <w:proofErr w:type="gramEnd"/>
    </w:p>
    <w:p w:rsidR="00170321" w:rsidRDefault="00E50E77">
      <w:pPr>
        <w:pStyle w:val="ConsPlusNormal"/>
        <w:spacing w:before="240"/>
        <w:ind w:firstLine="540"/>
        <w:jc w:val="both"/>
      </w:pPr>
      <w:r>
        <w:t>6. При распределении Субсидий в первую очередь Субсидии получает муниципальное образование, проект которого набрал наибольшее количество баллов ранжирования в соответствии с Порядком проведения конкурсного отбора.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Размер Субсидий муниципальному образовани</w:t>
      </w:r>
      <w:r>
        <w:t>ю определяется в соответствии с заявочной документацией, представленной на конкурсный отбор общественно значимых проектов по благоустройству сельских территорий Мурманской области в соответствии с Порядком проведения конкурсного отбора.</w:t>
      </w:r>
    </w:p>
    <w:p w:rsidR="00170321" w:rsidRDefault="00E50E77">
      <w:pPr>
        <w:pStyle w:val="ConsPlusNormal"/>
        <w:spacing w:before="240"/>
        <w:ind w:firstLine="540"/>
        <w:jc w:val="both"/>
      </w:pPr>
      <w:bookmarkStart w:id="2" w:name="P28"/>
      <w:bookmarkEnd w:id="2"/>
      <w:r>
        <w:t>7. Условиями предос</w:t>
      </w:r>
      <w:r>
        <w:t>тавления Субсидий из областного бюджета бюджетам муниципальных образований являются: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1) наличие правового акта муниципального образования, утверждающего перечень мероприятий, в целях софинансирования которых предоставляются Субсидии;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2) заключение с Минист</w:t>
      </w:r>
      <w:r>
        <w:t>ерством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Субсидии, и ответственность з</w:t>
      </w:r>
      <w:r>
        <w:t>а невыполнение предусмотренных указанным соглашением обязательств;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3) обеспечение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проектов </w:t>
      </w:r>
      <w:proofErr w:type="gramStart"/>
      <w:r>
        <w:t>до</w:t>
      </w:r>
      <w:proofErr w:type="gramEnd"/>
      <w:r>
        <w:t xml:space="preserve"> 1 марта года п</w:t>
      </w:r>
      <w:r>
        <w:t>редоставления Субсидий. Указанный срок может быть продлен до 1 июня года предоставления Субсидий при согласовании Министерством в установленном порядке в следующих случаях: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обжалования действий (бездействия) заказчика и (или) комиссии по осуществлению за</w:t>
      </w:r>
      <w:r>
        <w:t>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контрактов продлевается на срок указанного обжалования;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lastRenderedPageBreak/>
        <w:t>- провед</w:t>
      </w:r>
      <w:r>
        <w:t>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контрактов продлевается на срок проведения конкурсных процедур.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Срок ис</w:t>
      </w:r>
      <w:r>
        <w:t>полнения работ, услуг, поставки товаров, устанавливаемый контрактами, в обязательном порядке предварительно согласовывается с Министерством.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Субсидий муниципальными заказчиками, муниципальными бюджетными учреждениями, муниципальными ун</w:t>
      </w:r>
      <w:r>
        <w:t>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</w:t>
      </w:r>
      <w:r>
        <w:t>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</w:t>
      </w:r>
      <w:r>
        <w:t>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Если за счет средств Субсидий автономным учреждением, иным юридическим лицом осуществляется закупка в соо</w:t>
      </w:r>
      <w:r>
        <w:t>тветствии с частью 4 статьи 15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</w:t>
      </w:r>
      <w:r>
        <w:t>х форм, утверждаемых Комитетом.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 xml:space="preserve">Закупки товаров, работ, услуг за счет средств Субсидий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</w:t>
      </w:r>
      <w:r>
        <w:t>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</w:t>
      </w:r>
      <w:r>
        <w:t>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</w:t>
      </w:r>
      <w:r>
        <w:t xml:space="preserve">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Субсидии региональных проектов, обеспечивающих достижение целей, показателей и результатов ф</w:t>
      </w:r>
      <w:r>
        <w:t>едеральных проектов, включенных в состав национальных</w:t>
      </w:r>
      <w:proofErr w:type="gramEnd"/>
      <w:r>
        <w:t xml:space="preserve"> проектов.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Субсидии предоставляются местным бюджетам в пределах бюджетных ассигнований, предусмотренных законом Мурманской области об областном бюджете на соответствующий финансовый год и на плановый </w:t>
      </w:r>
      <w:r>
        <w:t xml:space="preserve">период, в пределах бюджетных ассигнований, утвержденных сводной бюджетной росписью, и лимитов бюджетных обязательств, утвержденных Министерству на цели, указанные в </w:t>
      </w:r>
      <w:hyperlink w:anchor="P10" w:tooltip="3. Субсидии предоставляются из областного бюджета местным бюджетам Министерством градостроительства и благоустройства Мурманской области (далее - Министерство) как главным распорядителем бюджетных средств в целях софинансирования расходных обязательств, возник">
        <w:r>
          <w:rPr>
            <w:color w:val="0000FF"/>
          </w:rPr>
          <w:t>пункте 3</w:t>
        </w:r>
      </w:hyperlink>
      <w:r>
        <w:t xml:space="preserve"> настоящих Правил, на основании соглашений, зак</w:t>
      </w:r>
      <w:r>
        <w:t>люченных между Министерством и органом местного самоуправления муниципального образования в государственной интегрированной</w:t>
      </w:r>
      <w:proofErr w:type="gramEnd"/>
      <w:r>
        <w:t xml:space="preserve"> информационной системе управления общественными финансами "Электронный бюджет" в соответствии с типовой формой, утвержденной Министе</w:t>
      </w:r>
      <w:r>
        <w:t>рством финансов Российской Федерации (далее - соглашение).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Заключение соглашения о предоставлении Субсидий местному бюджету из областного бюджета на срок, превышающий срок действия утвержденных лимитов бюджетного обязательства, осуществляется в случаях, пр</w:t>
      </w:r>
      <w:r>
        <w:t xml:space="preserve">едусмотренных нормативными правовыми актами </w:t>
      </w:r>
      <w:r>
        <w:lastRenderedPageBreak/>
        <w:t>Правительства Мурманской области, в пределах средств и на сроки, которые установлены указанными актами.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областном бюджете на соответствующий финансовый год и на пла</w:t>
      </w:r>
      <w:r>
        <w:t>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Субсидий, в соглашение вносятся соответствующие изменен</w:t>
      </w:r>
      <w:r>
        <w:t>ия.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Соглашение должно содержать: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а) реквизиты муниципального правового акта, устанавливающего расходное обязательство муниципального образования, в целях софинансирования которого предоставляются Субсидии, и перечень мероприятий, в целях софинансирования к</w:t>
      </w:r>
      <w:r>
        <w:t>оторых предоставляются Субсидии;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б) размер Субсидий, порядок, условия и сроки их перечисления в местный бюджет, а также объем (прогнозный объем) бюджетных ассигнований местного бюджета на исполнение соответствующих расходных обязательств;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в) уровень софина</w:t>
      </w:r>
      <w:r>
        <w:t>нсирования из областного бюджета (в процентах) от объема расходного обязательства муниципального образования;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г) значение показателя результативности использования Субсидий;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д) обязательство муниципального образования по достижению показателей результативн</w:t>
      </w:r>
      <w:r>
        <w:t>ости использования Субсидий;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 xml:space="preserve">е) обязательство муниципального образования по согласованию с Министерством в случаях, предусмотренных нормативными правовыми актами Правительства Мурманской области, муниципальных программ, </w:t>
      </w:r>
      <w:proofErr w:type="spellStart"/>
      <w:r>
        <w:t>софинансируемых</w:t>
      </w:r>
      <w:proofErr w:type="spellEnd"/>
      <w:r>
        <w:t xml:space="preserve"> за счет средств областного бюджета, и внесение в </w:t>
      </w:r>
      <w:r>
        <w:t>них изменений, которые влекут изменения объемов финансирования и (или) показателей результативности муниципальных программ и (или) изменение состава мероприятий указанных программ, на которые предоставляются Субсидии;</w:t>
      </w:r>
      <w:proofErr w:type="gramEnd"/>
    </w:p>
    <w:p w:rsidR="00170321" w:rsidRDefault="00E50E77">
      <w:pPr>
        <w:pStyle w:val="ConsPlusNormal"/>
        <w:spacing w:before="240"/>
        <w:ind w:firstLine="540"/>
        <w:jc w:val="both"/>
      </w:pPr>
      <w:r>
        <w:t>ж) сроки и порядок представления отчет</w:t>
      </w:r>
      <w:r>
        <w:t xml:space="preserve">ности об осуществлении расходов местного бюджета, в целях софинансирования которых предоставляются Субсидии, о достижении </w:t>
      </w:r>
      <w:proofErr w:type="gramStart"/>
      <w:r>
        <w:t>значений показателей результативности использования Субсидий</w:t>
      </w:r>
      <w:proofErr w:type="gramEnd"/>
      <w:r>
        <w:t>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з) порядок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муниципальным образован</w:t>
      </w:r>
      <w:r>
        <w:t>ием обязательств, предусмотренных соглашением;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и) ответственность сторон за неисполнение предусмотренных соглашением обязательств;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к) условие об осуществлении закупок с учетом положений </w:t>
      </w:r>
      <w:hyperlink w:anchor="P28" w:tooltip="7. Условиями предоставления Субсидий из областного бюджета бюджетам муниципальных образований являются:">
        <w:r>
          <w:rPr>
            <w:color w:val="0000FF"/>
          </w:rPr>
          <w:t>пункта 7</w:t>
        </w:r>
      </w:hyperlink>
      <w:r>
        <w:t xml:space="preserve"> Правил;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л) обязательство муниципального образования по заключению с Комитетом по конкурентной политике Мурманской области соглашения о порядке предоставления на безвозмездной основе права на осуществление заказчиками муниципального образования закупок малого объем</w:t>
      </w:r>
      <w:r>
        <w:t>а на торговой площадке "Закупки Мурманской области", если за счет средств Субсидий осуществляются закупки: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у единственного поставщика (подрядчика, исполнителя) в соответствии с Законом N 223-</w:t>
      </w:r>
      <w:r>
        <w:lastRenderedPageBreak/>
        <w:t>ФЗ;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- в соответствии с пунктами 4, 5 части 1 статьи 93 Закона N</w:t>
      </w:r>
      <w:r>
        <w:t xml:space="preserve"> 44-ФЗ;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>м) обязательство муниципального образования осуществлять контроль за заключением соглашения между заказчиком и государственным автономным учреждением Мурманской области "Региональный центр организации закупок" о передаче функций по организации и пр</w:t>
      </w:r>
      <w:r>
        <w:t>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Субсидий региональных проектов, обеспечивающих достижение целей, показателей и результатов феде</w:t>
      </w:r>
      <w:r>
        <w:t>ральных проектов, включенных</w:t>
      </w:r>
      <w:proofErr w:type="gramEnd"/>
      <w:r>
        <w:t xml:space="preserve"> в состав национальных проектов;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н) обязательство муниципального образования по согласованию с Министерством этапов исполнения муниципального контракта, осуществляемого за счет средств Субсидий, которые устанавливаются в виде ко</w:t>
      </w:r>
      <w:r>
        <w:t>нкретной даты начала работ (услуг) и срока окончания работ (услуг) не позднее 1 декабря текущего финансового года;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>о) обязательство муниципального образования при осуществлении мероприятий в рамках предоставленных средств Субсидий при планировании и разраб</w:t>
      </w:r>
      <w:r>
        <w:t>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мероприятий с организациями, обеспечивающими функционирование объектов инженерной инфраструктуры (цент</w:t>
      </w:r>
      <w:r>
        <w:t>рализованные системы водоснабжения, канализации, теплоснабжения, энергоснабжения, газоснабжения, телефонизации и связи) данного населенного пункта;</w:t>
      </w:r>
      <w:proofErr w:type="gramEnd"/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п) обязательства муниципального образования по возврату средств в областной бюджет в соответствии с </w:t>
      </w:r>
      <w:hyperlink w:anchor="P72" w:tooltip="15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й, опре">
        <w:r>
          <w:rPr>
            <w:color w:val="0000FF"/>
          </w:rPr>
          <w:t>пунктом 15</w:t>
        </w:r>
      </w:hyperlink>
      <w:r>
        <w:t xml:space="preserve"> настоящих Правил;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р) обязательство автономного учреждения по направлению в Комитет проекта извещения об осуществлении закупки, осуществляемой в соответствии с частью 4 статьи 15 Закона N 44-ФЗ, и применению типовых фо</w:t>
      </w:r>
      <w:r>
        <w:t>рм, утверждаемых Комитетом;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с) обязательство юридического лица по направлению в Комитет проекта извещения об осуществлении закупки, осуществляемой в соответствии с частями 4.1, 5 статьи 15 Закона N 44-ФЗ, и применению типовых форм, утверждаемых Комитетом.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9.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</w:t>
      </w:r>
      <w:r>
        <w:t>о администратора доходов, уполномоченного на использование Субсидий.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10. Уровень софинансирования из областного бюджета расходного обязательства муниципального образования устанавливается в размере не более 70 процентов от общего объема финансового обеспеч</w:t>
      </w:r>
      <w:r>
        <w:t>ения реализации проекта. При этом не менее 30 процентов объема финансирования реализации проекта должно быть обеспечено за счет средств местного бюджета, а также обязательного вклада граждан и (или) юридических лиц (индивидуальных предпринимателей).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11. По</w:t>
      </w:r>
      <w:r>
        <w:t>казателем результативности использования Субсидий является количество реализованных проектов по благоустройству общественных пространств на сельских территориях.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12. Оценка результативности использования Субсидий осуществляется Министерством на </w:t>
      </w:r>
      <w:r>
        <w:lastRenderedPageBreak/>
        <w:t>основании о</w:t>
      </w:r>
      <w:r>
        <w:t>тчетных данных, представленных муниципальным образованием по итогам отчетного года, исходя из степени достижения установленных соглашениями значений показателей результативности использования Субсидий.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13. Орган местного самоуправления муниципального образ</w:t>
      </w:r>
      <w:r>
        <w:t>ования представляет Министерству отчетность по установленной соглашением форме в государственной интегрированной системе управления общественными финансами "Электронный бюджет":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а) отчет о расходах бюджета муниципального образования Мурманской области, в ц</w:t>
      </w:r>
      <w:r>
        <w:t>елях софинансирования которых предоставлены Субсидии, не позднее 5-го числа месяца, следующего за кварталом, в котором были получены Субсидии, и не позднее 5-го рабочего дня месяца, следующего за отчетным годом;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б) отчет о достижении </w:t>
      </w:r>
      <w:proofErr w:type="gramStart"/>
      <w:r>
        <w:t>значений показателей р</w:t>
      </w:r>
      <w:r>
        <w:t>езультативности использования Субсидий</w:t>
      </w:r>
      <w:proofErr w:type="gramEnd"/>
      <w:r>
        <w:t xml:space="preserve"> не позднее 5-го рабочего дня месяца, следующего за годом, в котором была получена Субсидия.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>Орган местного самоуправления муниципального образования представляет в адрес Министерства отчет об исполнении условий предос</w:t>
      </w:r>
      <w:r>
        <w:t>тавления Субсидии по установленной соглашением форме не позднее 5-го числа месяца, следующего за отчетным кварталом, и не позднее 5-го рабочего дня месяца, следующего за отчетным годом.</w:t>
      </w:r>
      <w:proofErr w:type="gramEnd"/>
    </w:p>
    <w:p w:rsidR="00170321" w:rsidRDefault="00E50E77">
      <w:pPr>
        <w:pStyle w:val="ConsPlusNormal"/>
        <w:spacing w:before="240"/>
        <w:ind w:firstLine="540"/>
        <w:jc w:val="both"/>
      </w:pPr>
      <w:r>
        <w:t>Министерство вправе устанавливать дополнительные виды отчетности.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Срок</w:t>
      </w:r>
      <w:r>
        <w:t>и и формы представления получателем Субсидии отчетности устанавливается соглашением.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14. </w:t>
      </w:r>
      <w:proofErr w:type="gramStart"/>
      <w:r>
        <w:t>Не использованные на 1 января текущего финансового года средства Субсидий подлежат возврату в доход областного бюджета в соответствии с пунктом 11 Правил формирования,</w:t>
      </w:r>
      <w:r>
        <w:t xml:space="preserve"> предоставления и распределения субсидии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</w:t>
      </w:r>
      <w:r>
        <w:t>юджета местным бюджетам Мурманской области" (далее - Правила от 05.09.2011</w:t>
      </w:r>
      <w:proofErr w:type="gramEnd"/>
      <w:r>
        <w:t xml:space="preserve"> </w:t>
      </w:r>
      <w:proofErr w:type="gramStart"/>
      <w:r>
        <w:t>N 445-ПП).</w:t>
      </w:r>
      <w:proofErr w:type="gramEnd"/>
    </w:p>
    <w:p w:rsidR="00170321" w:rsidRDefault="00E50E77">
      <w:pPr>
        <w:pStyle w:val="ConsPlusNormal"/>
        <w:spacing w:before="240"/>
        <w:ind w:firstLine="540"/>
        <w:jc w:val="both"/>
      </w:pPr>
      <w:bookmarkStart w:id="3" w:name="P72"/>
      <w:bookmarkEnd w:id="3"/>
      <w:r>
        <w:t>15.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</w:t>
      </w:r>
      <w:r>
        <w:t xml:space="preserve"> областной бюджет в срок до 1 июня года, следующего за годом предоставления Субсидий, определяется в соответствии с пунктами 12, 16 Правил от 05.09.2011 N 445-ПП.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16. Основанием для освобождения муниципальных образований от применения мер ответственности, </w:t>
      </w:r>
      <w:r>
        <w:t>предусмотренных настоящими Правилами,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</w:t>
      </w:r>
      <w:r>
        <w:t>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</w:t>
      </w:r>
      <w:r>
        <w:t>на местного самоуправления;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</w:t>
      </w:r>
      <w:r>
        <w:t>асти;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lastRenderedPageBreak/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4) наличие всту</w:t>
      </w:r>
      <w:r>
        <w:t>пившего в законную силу в году предоставления Субсидий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подпунктом</w:t>
      </w:r>
      <w:r>
        <w:t xml:space="preserve"> 6 пункта 7 Правил от 05.09.2011 N 445-ПП.</w:t>
      </w:r>
    </w:p>
    <w:p w:rsidR="00170321" w:rsidRDefault="00E50E77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настоящим пунктом Правил, Министерство в соответствии с соглашением в году, следующем за </w:t>
      </w:r>
      <w:r>
        <w:t>годом предоставления Субсидий, направляет главе администрации муниципального образования (главе муниципального образования) требование по возврату из местного бюджета в областной бюджет объема средств, рассчитанного в соответствии с пунктом 12 Правил от 05</w:t>
      </w:r>
      <w:r>
        <w:t>.09.2011 N 445-ПП, с указанием</w:t>
      </w:r>
      <w:proofErr w:type="gramEnd"/>
      <w:r>
        <w:t xml:space="preserve"> сумм, подлежащих возврату, и сроков их возврата.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17. Орган местного самоуправления муниципального образования несет ответственность за нецелевое использование Субсидий, непредставление или представление с нарушением сроков от</w:t>
      </w:r>
      <w:r>
        <w:t>четности, предусмотренной настоящими Правилами, а также представление недостоверной отчетности и документов.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>18. В случае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170321" w:rsidRDefault="00E50E77">
      <w:pPr>
        <w:pStyle w:val="ConsPlusNormal"/>
        <w:spacing w:before="240"/>
        <w:ind w:firstLine="540"/>
        <w:jc w:val="both"/>
      </w:pPr>
      <w:r>
        <w:t xml:space="preserve">19. </w:t>
      </w:r>
      <w:proofErr w:type="gramStart"/>
      <w:r>
        <w:t>Контроль за</w:t>
      </w:r>
      <w:proofErr w:type="gramEnd"/>
      <w:r>
        <w:t xml:space="preserve"> соблюдением органом местного самоуправления условий, целей и порядка, установленных при</w:t>
      </w:r>
      <w:r>
        <w:t xml:space="preserve"> предоставлении Субсидий, осуществляется Министерством, органами государственного финансового контроля Мурманской области.</w:t>
      </w:r>
    </w:p>
    <w:p w:rsidR="00170321" w:rsidRDefault="00170321">
      <w:pPr>
        <w:pStyle w:val="ConsPlusNormal"/>
        <w:jc w:val="both"/>
      </w:pPr>
    </w:p>
    <w:p w:rsidR="00170321" w:rsidRDefault="00170321">
      <w:pPr>
        <w:pStyle w:val="ConsPlusNormal"/>
        <w:jc w:val="both"/>
      </w:pPr>
    </w:p>
    <w:p w:rsidR="00170321" w:rsidRDefault="00170321">
      <w:pPr>
        <w:pStyle w:val="ConsPlusNormal"/>
        <w:jc w:val="both"/>
      </w:pPr>
    </w:p>
    <w:p w:rsidR="00170321" w:rsidRDefault="00170321">
      <w:pPr>
        <w:pStyle w:val="ConsPlusNormal"/>
        <w:jc w:val="both"/>
      </w:pPr>
    </w:p>
    <w:p w:rsidR="00170321" w:rsidRDefault="00170321">
      <w:pPr>
        <w:pStyle w:val="ConsPlusNormal"/>
        <w:jc w:val="both"/>
      </w:pPr>
    </w:p>
    <w:p w:rsidR="00170321" w:rsidRDefault="00E50E77">
      <w:pPr>
        <w:pStyle w:val="ConsPlusNormal"/>
      </w:pPr>
      <w:r>
        <w:rPr>
          <w:i/>
        </w:rPr>
        <w:br/>
        <w:t>Постановление Правительства Мурманской области от 11.11.2020 N 787-ПП (ред. от 26.02.2025) "Об утверждении государственной прог</w:t>
      </w:r>
      <w:r>
        <w:rPr>
          <w:i/>
        </w:rPr>
        <w:t>раммы Мурманской области "Рыбное и сельское хозяйство"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170321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21"/>
    <w:rsid w:val="00170321"/>
    <w:rsid w:val="00E5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3085</Words>
  <Characters>17589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787-ПП
(ред. от 26.02.2025)
"Об утверждении государственной программы Мурманской области "Рыбное и сельское хозяйство"</vt:lpstr>
    </vt:vector>
  </TitlesOfParts>
  <Company>КонсультантПлюс Версия 4024.00.50</Company>
  <LinksUpToDate>false</LinksUpToDate>
  <CharactersWithSpaces>20633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787-ПП
(ред. от 26.02.2025)
"Об утверждении государственной программы Мурманской области "Рыбное и сельское хозяйство"</dc:title>
  <dc:creator>Поддубная А.В.</dc:creator>
  <cp:lastModifiedBy>Поддубная А.В.</cp:lastModifiedBy>
  <cp:revision>2</cp:revision>
  <dcterms:created xsi:type="dcterms:W3CDTF">2025-10-06T09:00:00Z</dcterms:created>
  <dcterms:modified xsi:type="dcterms:W3CDTF">2025-10-06T09:00:00Z</dcterms:modified>
</cp:coreProperties>
</file>